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ПИСЬМО</w:t>
      </w:r>
    </w:p>
    <w:p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Правительство Калужской области</w:t>
      </w:r>
    </w:p>
    <w:p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Институт российской истории Российской академии наук</w:t>
      </w:r>
    </w:p>
    <w:p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Калужский государственный университет им. </w:t>
      </w:r>
      <w:r>
        <w:rPr>
          <w:rFonts w:ascii="Times New Roman" w:hAnsi="Times New Roman"/>
          <w:sz w:val="20"/>
        </w:rPr>
        <w:t>К.Э.</w:t>
      </w:r>
      <w:r>
        <w:rPr>
          <w:rFonts w:ascii="Times New Roman" w:hAnsi="Times New Roman"/>
          <w:sz w:val="20"/>
        </w:rPr>
        <w:t xml:space="preserve"> Циолковского</w:t>
      </w:r>
    </w:p>
    <w:p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Российская</w:t>
      </w:r>
      <w:r>
        <w:rPr>
          <w:rFonts w:ascii="Times New Roman" w:hAnsi="Times New Roman"/>
          <w:sz w:val="20"/>
        </w:rPr>
        <w:t xml:space="preserve"> Ассоциация историков Первой мировой войны</w:t>
      </w:r>
    </w:p>
    <w:p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Администрация муниципального образования</w:t>
      </w:r>
      <w:r>
        <w:rPr>
          <w:rFonts w:ascii="Times New Roman" w:hAnsi="Times New Roman"/>
          <w:sz w:val="20"/>
        </w:rPr>
        <w:t xml:space="preserve"> «</w:t>
      </w:r>
      <w:r>
        <w:rPr>
          <w:rFonts w:ascii="Times New Roman" w:hAnsi="Times New Roman"/>
          <w:sz w:val="20"/>
        </w:rPr>
        <w:t>Боровский</w:t>
      </w:r>
      <w:r>
        <w:rPr>
          <w:rFonts w:ascii="Times New Roman" w:hAnsi="Times New Roman"/>
          <w:sz w:val="20"/>
        </w:rPr>
        <w:t xml:space="preserve"> район»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Калужской области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Этнографический парк-музей ЭТНОМИР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Посвящается </w:t>
      </w:r>
      <w:r>
        <w:rPr>
          <w:rFonts w:ascii="Times New Roman" w:hAnsi="Times New Roman"/>
          <w:i/>
          <w:sz w:val="24"/>
        </w:rPr>
        <w:t>300</w:t>
      </w:r>
      <w:r>
        <w:rPr>
          <w:rFonts w:ascii="Times New Roman" w:hAnsi="Times New Roman"/>
          <w:i/>
          <w:sz w:val="24"/>
        </w:rPr>
        <w:t xml:space="preserve">-летию </w:t>
      </w:r>
      <w:r>
        <w:rPr>
          <w:rFonts w:ascii="Times New Roman" w:hAnsi="Times New Roman"/>
          <w:i/>
          <w:sz w:val="24"/>
        </w:rPr>
        <w:t>Российской академии наук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X</w:t>
      </w:r>
      <w:r>
        <w:rPr>
          <w:rFonts w:ascii="Times New Roman" w:hAnsi="Times New Roman"/>
          <w:b/>
          <w:sz w:val="28"/>
          <w:lang w:val="en-US"/>
        </w:rPr>
        <w:t>V</w:t>
      </w: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Международная</w:t>
      </w:r>
      <w:r>
        <w:rPr>
          <w:rFonts w:ascii="Times New Roman" w:hAnsi="Times New Roman"/>
          <w:b/>
          <w:sz w:val="28"/>
        </w:rPr>
        <w:t xml:space="preserve"> научно-практическая конференция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 истоков российской государственности»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24</w:t>
      </w:r>
      <w:r>
        <w:rPr>
          <w:rFonts w:ascii="Times New Roman" w:hAnsi="Times New Roman"/>
          <w:b/>
          <w:i/>
          <w:sz w:val="24"/>
        </w:rPr>
        <w:t>-2</w:t>
      </w:r>
      <w:r>
        <w:rPr>
          <w:rFonts w:ascii="Times New Roman" w:hAnsi="Times New Roman"/>
          <w:b/>
          <w:i/>
          <w:sz w:val="24"/>
        </w:rPr>
        <w:t>5</w:t>
      </w:r>
      <w:r>
        <w:rPr>
          <w:rFonts w:ascii="Times New Roman" w:hAnsi="Times New Roman"/>
          <w:b/>
          <w:i/>
          <w:sz w:val="24"/>
        </w:rPr>
        <w:t xml:space="preserve"> мая</w:t>
      </w:r>
      <w:r>
        <w:rPr>
          <w:rFonts w:ascii="Times New Roman" w:hAnsi="Times New Roman"/>
          <w:b/>
          <w:i/>
          <w:sz w:val="24"/>
        </w:rPr>
        <w:t xml:space="preserve"> 202</w:t>
      </w:r>
      <w:r>
        <w:rPr>
          <w:rFonts w:ascii="Times New Roman" w:hAnsi="Times New Roman"/>
          <w:b/>
          <w:i/>
          <w:sz w:val="24"/>
        </w:rPr>
        <w:t>4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Россия, Калужская область, город</w:t>
      </w:r>
      <w:r>
        <w:rPr>
          <w:rFonts w:ascii="Times New Roman" w:hAnsi="Times New Roman"/>
          <w:sz w:val="24"/>
        </w:rPr>
        <w:t xml:space="preserve"> Боровск</w:t>
      </w:r>
    </w:p>
    <w:p>
      <w:pPr>
        <w:spacing w:after="0" w:line="240" w:lineRule="auto"/>
        <w:rPr>
          <w:rFonts w:ascii="Times New Roman" w:hAnsi="Times New Roman"/>
          <w:b/>
          <w:sz w:val="24"/>
          <w:lang w:eastAsia="ru-RU"/>
        </w:rPr>
      </w:pPr>
    </w:p>
    <w:p>
      <w:pPr>
        <w:tabs>
          <w:tab w:val="center" w:pos="4960"/>
          <w:tab w:val="left" w:pos="7250"/>
        </w:tabs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ru-RU"/>
        </w:rPr>
        <w:t xml:space="preserve">Конференция </w:t>
      </w:r>
      <w:r>
        <w:rPr>
          <w:rFonts w:ascii="Times New Roman" w:hAnsi="Times New Roman"/>
          <w:sz w:val="20"/>
          <w:lang w:eastAsia="ru-RU"/>
        </w:rPr>
        <w:t xml:space="preserve">проводится </w:t>
      </w:r>
      <w:r>
        <w:rPr>
          <w:rFonts w:ascii="Times New Roman" w:hAnsi="Times New Roman"/>
          <w:sz w:val="20"/>
        </w:rPr>
        <w:t xml:space="preserve">при поддержке: </w:t>
      </w:r>
      <w:r>
        <w:rPr>
          <w:rFonts w:ascii="Times New Roman" w:hAnsi="Times New Roman"/>
          <w:sz w:val="20"/>
        </w:rPr>
        <w:t>Калужского объединённого музея-заповедника; Калужской митрополии; Региональной общественной организации «Калужское землячество»; Калужского регионального отделения Международной общественной организации «Императорское Православное Палестинское Общество»; Калужской областной общественной организации работников социальных служб (КАСОПРС).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4"/>
        </w:rPr>
      </w:pPr>
      <w:r>
        <w:rPr>
          <w:rFonts w:ascii="Times New Roman" w:hAnsi="Times New Roman"/>
          <w:b/>
          <w:sz w:val="24"/>
          <w:lang w:eastAsia="ru-RU"/>
        </w:rPr>
        <w:t>Цель</w:t>
      </w:r>
      <w:r>
        <w:rPr>
          <w:rFonts w:ascii="Times New Roman" w:hAnsi="Times New Roman"/>
          <w:b/>
          <w:sz w:val="24"/>
          <w:lang w:eastAsia="ru-RU"/>
        </w:rPr>
        <w:t xml:space="preserve"> конференции: </w:t>
      </w:r>
      <w:r>
        <w:rPr>
          <w:rFonts w:ascii="Times New Roman" w:hAnsi="Times New Roman"/>
          <w:b w:val="off"/>
          <w:sz w:val="24"/>
          <w:lang w:eastAsia="ru-RU"/>
        </w:rPr>
        <w:t>в</w:t>
      </w:r>
      <w:r>
        <w:rPr>
          <w:rFonts w:ascii="Times New Roman" w:hAnsi="Times New Roman"/>
          <w:sz w:val="24"/>
          <w:lang w:eastAsia="ru-RU"/>
        </w:rPr>
        <w:t>ведение в научный</w:t>
      </w:r>
      <w:r>
        <w:rPr>
          <w:rFonts w:ascii="Times New Roman" w:hAnsi="Times New Roman"/>
          <w:b/>
          <w:sz w:val="24"/>
          <w:lang w:eastAsia="ru-RU"/>
        </w:rPr>
        <w:t xml:space="preserve"> </w:t>
      </w:r>
      <w:r>
        <w:rPr>
          <w:rFonts w:ascii="Times New Roman" w:eastAsia="TimesNewRoman" w:hAnsi="Times New Roman"/>
          <w:sz w:val="24"/>
        </w:rPr>
        <w:t xml:space="preserve">оборот результатов </w:t>
      </w:r>
      <w:r>
        <w:rPr>
          <w:rFonts w:ascii="Times New Roman" w:eastAsia="TimesNewRoman" w:hAnsi="Times New Roman"/>
          <w:sz w:val="24"/>
        </w:rPr>
        <w:t xml:space="preserve">архивно-библиографических изысканий по локальной истории Калужского края и по истории Отечества. </w:t>
      </w:r>
      <w:r>
        <w:rPr>
          <w:rFonts w:ascii="Times New Roman" w:eastAsia="TimesNewRoman" w:hAnsi="Times New Roman"/>
          <w:sz w:val="24"/>
        </w:rPr>
        <w:t>Развитие</w:t>
      </w:r>
      <w:r>
        <w:rPr>
          <w:rFonts w:ascii="Times New Roman" w:eastAsia="TimesNewRoman" w:hAnsi="Times New Roman"/>
          <w:sz w:val="24"/>
        </w:rPr>
        <w:t xml:space="preserve"> опыта взаимодействия власти, церкви и общества по сохранению исторической памяти и историко-культурного наследия, духовному возрождению и </w:t>
      </w:r>
      <w:r>
        <w:rPr>
          <w:rFonts w:ascii="Times New Roman" w:eastAsia="TimesNewRoman" w:hAnsi="Times New Roman"/>
          <w:sz w:val="24"/>
        </w:rPr>
        <w:t>формированию</w:t>
      </w:r>
      <w:r>
        <w:rPr>
          <w:rFonts w:ascii="Times New Roman" w:eastAsia="TimesNewRoman" w:hAnsi="Times New Roman"/>
          <w:sz w:val="24"/>
        </w:rPr>
        <w:t xml:space="preserve"> российской гражданской идентичности</w:t>
      </w:r>
      <w:r>
        <w:rPr>
          <w:rFonts w:ascii="Times New Roman" w:eastAsia="TimesNewRoman" w:hAnsi="Times New Roman"/>
          <w:sz w:val="24"/>
        </w:rPr>
        <w:t>.</w:t>
      </w:r>
      <w:r>
        <w:rPr>
          <w:rFonts w:ascii="Times New Roman" w:eastAsia="TimesNewRoman" w:hAnsi="Times New Roman"/>
          <w:sz w:val="24"/>
        </w:rPr>
        <w:t xml:space="preserve"> Выстраивание</w:t>
      </w:r>
      <w:r>
        <w:rPr>
          <w:rFonts w:ascii="Times New Roman" w:eastAsia="TimesNewRoman" w:hAnsi="Times New Roman"/>
          <w:sz w:val="24"/>
        </w:rPr>
        <w:t xml:space="preserve"> коммуникативной площадки для </w:t>
      </w:r>
      <w:r>
        <w:rPr>
          <w:rFonts w:ascii="Times New Roman" w:eastAsia="TimesNewRoman" w:hAnsi="Times New Roman"/>
          <w:sz w:val="24"/>
        </w:rPr>
        <w:t>обсуждения</w:t>
      </w:r>
      <w:r>
        <w:rPr>
          <w:rFonts w:ascii="Times New Roman" w:eastAsia="TimesNewRoman" w:hAnsi="Times New Roman"/>
          <w:sz w:val="24"/>
        </w:rPr>
        <w:t xml:space="preserve"> научным сообществом </w:t>
      </w:r>
      <w:r>
        <w:rPr>
          <w:rFonts w:ascii="Times New Roman" w:eastAsia="TimesNewRoman" w:hAnsi="Times New Roman"/>
          <w:sz w:val="24"/>
        </w:rPr>
        <w:t>проблематики конференции</w:t>
      </w:r>
      <w:r>
        <w:rPr>
          <w:rFonts w:ascii="Times New Roman" w:eastAsia="TimesNewRoman" w:hAnsi="Times New Roman"/>
          <w:sz w:val="24"/>
        </w:rPr>
        <w:t>.</w:t>
      </w:r>
    </w:p>
    <w:p>
      <w:pPr>
        <w:shd w:val="clear" w:color="auto" w:fill="ffffff"/>
        <w:tabs>
          <w:tab w:val="left" w:pos="567"/>
        </w:tabs>
        <w:snapToGrid w:val="off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К участию в работе </w:t>
      </w:r>
      <w:r>
        <w:rPr>
          <w:rFonts w:ascii="Times New Roman" w:hAnsi="Times New Roman"/>
          <w:b/>
          <w:sz w:val="24"/>
          <w:lang w:eastAsia="ru-RU"/>
        </w:rPr>
        <w:t>к</w:t>
      </w:r>
      <w:r>
        <w:rPr>
          <w:rFonts w:ascii="Times New Roman" w:hAnsi="Times New Roman"/>
          <w:b/>
          <w:sz w:val="24"/>
          <w:lang w:eastAsia="ru-RU"/>
        </w:rPr>
        <w:t>онференции приглашаются</w:t>
      </w:r>
      <w:r>
        <w:rPr>
          <w:rFonts w:ascii="Times New Roman" w:hAnsi="Times New Roman"/>
          <w:sz w:val="24"/>
          <w:lang w:eastAsia="ru-RU"/>
        </w:rPr>
        <w:t xml:space="preserve"> сотрудники</w:t>
      </w:r>
      <w:r>
        <w:rPr>
          <w:rFonts w:ascii="Times New Roman" w:hAnsi="Times New Roman"/>
          <w:sz w:val="24"/>
          <w:lang w:eastAsia="ru-RU"/>
        </w:rPr>
        <w:t xml:space="preserve"> научных, образовательных организаций,</w:t>
      </w:r>
      <w:r>
        <w:rPr>
          <w:rFonts w:ascii="Times New Roman" w:hAnsi="Times New Roman"/>
          <w:sz w:val="24"/>
          <w:lang w:eastAsia="ru-RU"/>
        </w:rPr>
        <w:t xml:space="preserve"> учреждений сферы культуры и др.</w:t>
      </w:r>
      <w:r>
        <w:rPr>
          <w:rFonts w:ascii="Times New Roman" w:hAnsi="Times New Roman"/>
          <w:sz w:val="24"/>
          <w:lang w:eastAsia="ru-RU"/>
        </w:rPr>
        <w:t>, независимые исследователи.</w:t>
      </w:r>
    </w:p>
    <w:p>
      <w:pPr>
        <w:shd w:val="clear" w:color="auto" w:fill="ffffff"/>
        <w:tabs>
          <w:tab w:val="left" w:pos="567"/>
        </w:tabs>
        <w:snapToGrid w:val="off"/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>
      <w:pPr>
        <w:shd w:val="clear" w:color="auto" w:fill="ffffff"/>
        <w:tabs>
          <w:tab w:val="left" w:pos="567"/>
        </w:tabs>
        <w:snapToGrid w:val="off"/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НАПРАВЛЕНИЯ РАБОТЫ СЕКЦИЙ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международных отношений и внешней политики России.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Социально-политическая история</w:t>
      </w:r>
      <w:r>
        <w:rPr>
          <w:rFonts w:ascii="Times New Roman" w:hAnsi="Times New Roman"/>
          <w:sz w:val="24"/>
        </w:rPr>
        <w:t xml:space="preserve"> России.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Военная история России.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Посвящается 110-летию начала Первой мировой войны   </w:t>
      </w: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(1914-1918 гг.)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российской культуры.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Дома Романовых и российского дворянства</w:t>
      </w:r>
      <w:r>
        <w:rPr>
          <w:rFonts w:ascii="Times New Roman" w:hAnsi="Times New Roman"/>
          <w:sz w:val="24"/>
        </w:rPr>
        <w:t>.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 Русской Православной церкви.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Здоровье российской нации: </w:t>
      </w:r>
      <w:r>
        <w:rPr>
          <w:rFonts w:ascii="Times New Roman" w:hAnsi="Times New Roman"/>
          <w:sz w:val="24"/>
        </w:rPr>
        <w:t>ретроспектива и перспективы</w:t>
      </w:r>
      <w:r>
        <w:rPr>
          <w:rFonts w:ascii="Times New Roman" w:hAnsi="Times New Roman"/>
          <w:sz w:val="24"/>
        </w:rPr>
        <w:t xml:space="preserve"> сохранения и развития.</w:t>
      </w:r>
    </w:p>
    <w:p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Эколого-патриотические аспекты проблематики Отечества.</w:t>
      </w:r>
    </w:p>
    <w:p>
      <w:pPr>
        <w:tabs>
          <w:tab w:val="left" w:pos="567"/>
        </w:tabs>
        <w:snapToGrid w:val="off"/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>
      <w:pPr>
        <w:tabs>
          <w:tab w:val="left" w:pos="567"/>
        </w:tabs>
        <w:snapToGrid w:val="off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Для участия в Конференци</w:t>
      </w:r>
      <w:r>
        <w:rPr>
          <w:rFonts w:ascii="Times New Roman" w:hAnsi="Times New Roman"/>
          <w:b/>
          <w:sz w:val="24"/>
          <w:lang w:eastAsia="ru-RU"/>
        </w:rPr>
        <w:t>и необходимо</w:t>
      </w:r>
      <w:r>
        <w:rPr>
          <w:rFonts w:ascii="Times New Roman" w:hAnsi="Times New Roman"/>
          <w:sz w:val="24"/>
          <w:lang w:eastAsia="ru-RU"/>
        </w:rPr>
        <w:t xml:space="preserve">: </w:t>
      </w:r>
    </w:p>
    <w:p>
      <w:pPr>
        <w:tabs>
          <w:tab w:val="left" w:pos="567"/>
        </w:tabs>
        <w:snapToGrid w:val="off"/>
        <w:spacing w:after="0" w:line="240" w:lineRule="auto"/>
        <w:ind w:firstLine="709"/>
        <w:jc w:val="both"/>
        <w:rPr/>
      </w:pPr>
      <w:r>
        <w:rPr>
          <w:rFonts w:ascii="Times New Roman" w:hAnsi="Times New Roman"/>
          <w:i/>
          <w:sz w:val="24"/>
          <w:u w:val="single"/>
          <w:lang w:eastAsia="ru-RU"/>
        </w:rPr>
        <w:t>С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трого 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до </w:t>
      </w:r>
      <w:r>
        <w:rPr>
          <w:rFonts w:ascii="Times New Roman" w:hAnsi="Times New Roman"/>
          <w:i/>
          <w:sz w:val="24"/>
          <w:u w:val="single"/>
          <w:lang w:eastAsia="ru-RU"/>
        </w:rPr>
        <w:t>1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 мая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4"/>
          <w:u w:val="single"/>
          <w:lang w:eastAsia="ru-RU"/>
        </w:rPr>
        <w:t>202</w:t>
      </w:r>
      <w:r>
        <w:rPr>
          <w:rFonts w:ascii="Times New Roman" w:hAnsi="Times New Roman"/>
          <w:i/>
          <w:sz w:val="24"/>
          <w:u w:val="single"/>
          <w:lang w:eastAsia="ru-RU"/>
        </w:rPr>
        <w:t>4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 г.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 xml:space="preserve">заполнить </w:t>
      </w:r>
      <w:r>
        <w:rPr>
          <w:rFonts w:ascii="Times New Roman" w:hAnsi="Times New Roman"/>
          <w:sz w:val="24"/>
          <w:lang w:eastAsia="ru-RU"/>
        </w:rPr>
        <w:t>заявку на участие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и отправить контактному лицу.</w:t>
      </w:r>
    </w:p>
    <w:p>
      <w:pPr>
        <w:tabs>
          <w:tab w:val="left" w:pos="567"/>
        </w:tabs>
        <w:snapToGrid w:val="off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i/>
          <w:sz w:val="24"/>
          <w:u w:val="single"/>
          <w:lang w:eastAsia="ru-RU"/>
        </w:rPr>
        <w:t>С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трого до </w:t>
      </w:r>
      <w:r>
        <w:rPr>
          <w:rFonts w:ascii="Times New Roman" w:hAnsi="Times New Roman"/>
          <w:i/>
          <w:sz w:val="24"/>
          <w:u w:val="single"/>
          <w:lang w:eastAsia="ru-RU"/>
        </w:rPr>
        <w:t>29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 июня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4"/>
          <w:u w:val="single"/>
          <w:lang w:eastAsia="ru-RU"/>
        </w:rPr>
        <w:t>202</w:t>
      </w:r>
      <w:r>
        <w:rPr>
          <w:rFonts w:ascii="Times New Roman" w:hAnsi="Times New Roman"/>
          <w:i/>
          <w:sz w:val="24"/>
          <w:u w:val="single"/>
          <w:lang w:eastAsia="ru-RU"/>
        </w:rPr>
        <w:t>4</w:t>
      </w:r>
      <w:r>
        <w:rPr>
          <w:rFonts w:ascii="Times New Roman" w:hAnsi="Times New Roman"/>
          <w:i/>
          <w:sz w:val="24"/>
          <w:u w:val="single"/>
          <w:lang w:eastAsia="ru-RU"/>
        </w:rPr>
        <w:t xml:space="preserve"> г.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 xml:space="preserve">отправить на электронную почту </w:t>
      </w:r>
      <w:r>
        <w:rPr>
          <w:rFonts w:ascii="Times New Roman" w:hAnsi="Times New Roman"/>
          <w:sz w:val="24"/>
          <w:lang w:eastAsia="ru-RU"/>
        </w:rPr>
        <w:t>контактному лицу</w:t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статью</w:t>
      </w:r>
      <w:r>
        <w:rPr>
          <w:rFonts w:ascii="Times New Roman" w:hAnsi="Times New Roman"/>
          <w:b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(</w:t>
      </w:r>
      <w:r>
        <w:rPr>
          <w:rFonts w:ascii="Times New Roman" w:hAnsi="Times New Roman"/>
          <w:sz w:val="24"/>
          <w:lang w:eastAsia="ru-RU"/>
        </w:rPr>
        <w:t xml:space="preserve">как </w:t>
      </w:r>
      <w:r>
        <w:rPr>
          <w:rFonts w:ascii="Times New Roman" w:hAnsi="Times New Roman"/>
          <w:sz w:val="24"/>
          <w:lang w:eastAsia="ru-RU"/>
        </w:rPr>
        <w:t>производную выступления</w:t>
      </w:r>
      <w:r>
        <w:rPr>
          <w:rFonts w:ascii="Times New Roman" w:hAnsi="Times New Roman"/>
          <w:sz w:val="24"/>
          <w:lang w:eastAsia="ru-RU"/>
        </w:rPr>
        <w:t>)</w:t>
      </w:r>
      <w:r>
        <w:rPr>
          <w:rFonts w:ascii="Times New Roman" w:hAnsi="Times New Roman"/>
          <w:sz w:val="24"/>
          <w:lang w:eastAsia="ru-RU"/>
        </w:rPr>
        <w:t>,</w:t>
      </w:r>
      <w:r>
        <w:rPr>
          <w:rFonts w:ascii="Times New Roman" w:hAnsi="Times New Roman"/>
          <w:sz w:val="24"/>
          <w:lang w:eastAsia="ru-RU"/>
        </w:rPr>
        <w:t xml:space="preserve"> для публикации</w:t>
      </w:r>
      <w:r>
        <w:rPr>
          <w:rFonts w:ascii="Times New Roman" w:hAnsi="Times New Roman"/>
          <w:sz w:val="24"/>
          <w:lang w:eastAsia="ru-RU"/>
        </w:rPr>
        <w:t xml:space="preserve"> в сборнике конференции</w:t>
      </w:r>
      <w:r>
        <w:rPr>
          <w:rFonts w:ascii="Times New Roman" w:hAnsi="Times New Roman"/>
          <w:sz w:val="24"/>
          <w:lang w:eastAsia="ru-RU"/>
        </w:rPr>
        <w:t>, соответствующую требованиям РИНЦ</w:t>
      </w:r>
      <w:r>
        <w:rPr>
          <w:rFonts w:ascii="Times New Roman" w:hAnsi="Times New Roman"/>
          <w:sz w:val="24"/>
          <w:lang w:eastAsia="ru-RU"/>
        </w:rPr>
        <w:t>, с оригинальностью текста не ниже 70%</w:t>
      </w:r>
      <w:r>
        <w:rPr>
          <w:rFonts w:ascii="Times New Roman" w:hAnsi="Times New Roman"/>
          <w:sz w:val="24"/>
          <w:lang w:eastAsia="ru-RU"/>
        </w:rPr>
        <w:t>.</w:t>
      </w:r>
      <w:r>
        <w:rPr>
          <w:rFonts w:ascii="Times New Roman" w:hAnsi="Times New Roman"/>
          <w:sz w:val="24"/>
          <w:lang w:eastAsia="ru-RU"/>
        </w:rPr>
        <w:t xml:space="preserve"> </w:t>
      </w:r>
    </w:p>
    <w:p>
      <w:pPr>
        <w:tabs>
          <w:tab w:val="left" w:pos="567"/>
        </w:tabs>
        <w:snapToGrid w:val="off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Оргкомитет оставляет за собой право провести проверку оригинальности текста на ресурсе </w:t>
      </w:r>
      <w:r>
        <w:rPr>
          <w:rFonts w:ascii="Times New Roman" w:hAnsi="Times New Roman"/>
          <w:sz w:val="24"/>
          <w:lang w:eastAsia="ru-RU"/>
        </w:rPr>
        <w:t>antiplagiat.ru</w:t>
      </w:r>
      <w:r>
        <w:rPr>
          <w:rFonts w:ascii="Times New Roman" w:hAnsi="Times New Roman"/>
          <w:sz w:val="24"/>
          <w:lang w:eastAsia="ru-RU"/>
        </w:rPr>
        <w:t xml:space="preserve"> и </w:t>
      </w:r>
      <w:r>
        <w:rPr>
          <w:rFonts w:ascii="Times New Roman" w:hAnsi="Times New Roman"/>
          <w:sz w:val="24"/>
          <w:lang w:eastAsia="ru-RU"/>
        </w:rPr>
        <w:t>не принимать материалы к публикации без объяснения причин отказа.</w:t>
      </w:r>
    </w:p>
    <w:p>
      <w:pPr>
        <w:tabs>
          <w:tab w:val="left" w:pos="567"/>
        </w:tabs>
        <w:snapToGrid w:val="off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Контактное лицо </w:t>
      </w:r>
      <w:r>
        <w:rPr>
          <w:rFonts w:ascii="Times New Roman" w:hAnsi="Times New Roman"/>
          <w:i/>
          <w:sz w:val="24"/>
          <w:lang w:eastAsia="ru-RU"/>
        </w:rPr>
        <w:t xml:space="preserve">– </w:t>
      </w:r>
      <w:r>
        <w:rPr>
          <w:rFonts w:ascii="Times New Roman" w:hAnsi="Times New Roman"/>
          <w:i/>
          <w:sz w:val="24"/>
          <w:lang w:eastAsia="ru-RU"/>
        </w:rPr>
        <w:t>Заурдина</w:t>
      </w:r>
      <w:r>
        <w:rPr>
          <w:rFonts w:ascii="Times New Roman" w:hAnsi="Times New Roman"/>
          <w:i/>
          <w:sz w:val="24"/>
          <w:lang w:eastAsia="ru-RU"/>
        </w:rPr>
        <w:t xml:space="preserve"> Светлана Яковлевна</w:t>
      </w:r>
      <w:r>
        <w:rPr>
          <w:rFonts w:ascii="Times New Roman" w:hAnsi="Times New Roman"/>
          <w:sz w:val="24"/>
          <w:lang w:eastAsia="ru-RU"/>
        </w:rPr>
        <w:t xml:space="preserve">, </w:t>
      </w:r>
      <w:r>
        <w:fldChar w:fldCharType="begin"/>
      </w:r>
      <w:r>
        <w:instrText xml:space="preserve">HYPERLINK "mailto:zaurdina2010@yandex.ru"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lang w:eastAsia="ru-RU"/>
        </w:rPr>
        <w:t>zaurdina2010@yandex.ru</w:t>
      </w:r>
      <w:r>
        <w:fldChar w:fldCharType="end"/>
      </w:r>
      <w:r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, 8-920-617-66-26.</w:t>
      </w:r>
    </w:p>
    <w:p>
      <w:pPr>
        <w:tabs>
          <w:tab w:val="left" w:pos="567"/>
        </w:tabs>
        <w:snapToGrid w:val="off"/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Заявка на участие </w:t>
      </w:r>
      <w:r>
        <w:rPr>
          <w:rFonts w:ascii="Times New Roman" w:hAnsi="Times New Roman"/>
          <w:sz w:val="24"/>
          <w:lang w:eastAsia="ru-RU"/>
        </w:rPr>
        <w:t>(</w:t>
      </w:r>
      <w:r>
        <w:rPr>
          <w:rFonts w:ascii="Times New Roman" w:hAnsi="Times New Roman"/>
          <w:i/>
          <w:sz w:val="24"/>
          <w:lang w:eastAsia="ru-RU"/>
        </w:rPr>
        <w:t>строчными буквами</w:t>
      </w:r>
      <w:r>
        <w:rPr>
          <w:rFonts w:ascii="Times New Roman" w:hAnsi="Times New Roman"/>
          <w:sz w:val="24"/>
          <w:lang w:eastAsia="ru-RU"/>
        </w:rPr>
        <w:t xml:space="preserve"> без сокращений и аббревиатур</w:t>
      </w:r>
      <w:r>
        <w:rPr>
          <w:rFonts w:ascii="Times New Roman" w:hAnsi="Times New Roman"/>
          <w:sz w:val="24"/>
          <w:lang w:eastAsia="ru-RU"/>
        </w:rPr>
        <w:t>)</w:t>
      </w:r>
    </w:p>
    <w:p>
      <w:pPr>
        <w:snapToGrid w:val="off"/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Е</w:t>
      </w:r>
    </w:p>
    <w:tbl>
      <w:tblPr>
        <w:tblW w:w="10881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A0"/>
      </w:tblPr>
      <w:tblGrid>
        <w:gridCol w:w="3369"/>
        <w:gridCol w:w="7512"/>
      </w:tblGrid>
      <w:tr>
        <w:trPr/>
        <w:tc>
          <w:tcPr>
            <w:cnfStyle w:val="101000000000"/>
            <w:tcW w:w="3369" w:type="dxa"/>
            <w:gridSpan w:val="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Фамилия имя отчество</w:t>
            </w:r>
          </w:p>
        </w:tc>
        <w:tc>
          <w:tcPr>
            <w:cnfStyle w:val="100010000000"/>
            <w:tcW w:w="7512" w:type="dxa"/>
            <w:gridSpan w:val="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>
        <w:trPr/>
        <w:tc>
          <w:tcPr>
            <w:cnfStyle w:val="001000100000"/>
            <w:tcW w:w="3369" w:type="dxa"/>
            <w:gridSpan w:val="1"/>
            <w:tcBorders>
              <w:bottom w:val="single" w:color="auto" w:sz="18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lang w:eastAsia="ru-RU"/>
              </w:rPr>
              <w:t>трана</w:t>
            </w:r>
            <w:r>
              <w:rPr>
                <w:rFonts w:ascii="Times New Roman" w:hAnsi="Times New Roman"/>
                <w:b/>
                <w:sz w:val="24"/>
                <w:lang w:eastAsia="ru-RU"/>
              </w:rPr>
              <w:t>, населенный пункт</w:t>
            </w:r>
          </w:p>
        </w:tc>
        <w:tc>
          <w:tcPr>
            <w:cnfStyle w:val="000010100000"/>
            <w:tcW w:w="7512" w:type="dxa"/>
            <w:gridSpan w:val="1"/>
            <w:tcBorders>
              <w:bottom w:val="single" w:color="auto" w:sz="18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>
        <w:trPr/>
        <w:tc>
          <w:tcPr>
            <w:cnfStyle w:val="001000010000"/>
            <w:tcW w:w="3369" w:type="dxa"/>
            <w:gridSpan w:val="1"/>
            <w:tcBorders>
              <w:top w:val="single" w:color="auto" w:sz="18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Место работы</w:t>
            </w:r>
          </w:p>
        </w:tc>
        <w:tc>
          <w:tcPr>
            <w:cnfStyle w:val="000010010000"/>
            <w:tcW w:w="7512" w:type="dxa"/>
            <w:gridSpan w:val="1"/>
            <w:tcBorders>
              <w:top w:val="single" w:color="auto" w:sz="18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>
        <w:trPr/>
        <w:tc>
          <w:tcPr>
            <w:cnfStyle w:val="001000100000"/>
            <w:tcW w:w="3369" w:type="dxa"/>
            <w:gridSpan w:val="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cnfStyle w:val="000010100000"/>
            <w:tcW w:w="7512" w:type="dxa"/>
            <w:gridSpan w:val="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/>
        <w:tc>
          <w:tcPr>
            <w:cnfStyle w:val="001000010000"/>
            <w:tcW w:w="3369" w:type="dxa"/>
            <w:gridSpan w:val="1"/>
            <w:tcBorders>
              <w:bottom w:val="single" w:color="auto" w:sz="18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</w:rPr>
              <w:t>Научная степень, звание</w:t>
            </w:r>
          </w:p>
        </w:tc>
        <w:tc>
          <w:tcPr>
            <w:cnfStyle w:val="000010010000"/>
            <w:tcW w:w="7512" w:type="dxa"/>
            <w:gridSpan w:val="1"/>
            <w:tcBorders>
              <w:bottom w:val="single" w:color="auto" w:sz="18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/>
        <w:tc>
          <w:tcPr>
            <w:cnfStyle w:val="001000100000"/>
            <w:tcW w:w="3369" w:type="dxa"/>
            <w:gridSpan w:val="1"/>
            <w:tcBorders>
              <w:top w:val="single" w:color="auto" w:sz="18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 xml:space="preserve">Название доклада </w:t>
            </w:r>
            <w:r>
              <w:rPr>
                <w:rFonts w:ascii="Times New Roman" w:hAnsi="Times New Roman"/>
                <w:b/>
                <w:sz w:val="24"/>
                <w:lang w:eastAsia="ru-RU"/>
              </w:rPr>
              <w:t>(статьи)</w:t>
            </w:r>
          </w:p>
        </w:tc>
        <w:tc>
          <w:tcPr>
            <w:cnfStyle w:val="000010100000"/>
            <w:tcW w:w="7512" w:type="dxa"/>
            <w:gridSpan w:val="1"/>
            <w:tcBorders>
              <w:top w:val="single" w:color="auto" w:sz="18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>
        <w:trPr/>
        <w:tc>
          <w:tcPr>
            <w:cnfStyle w:val="001000010000"/>
            <w:tcW w:w="3369" w:type="dxa"/>
            <w:gridSpan w:val="1"/>
            <w:tcBorders>
              <w:top w:val="single" w:color="auto" w:sz="18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Мобильный телефон</w:t>
            </w:r>
          </w:p>
        </w:tc>
        <w:tc>
          <w:tcPr>
            <w:cnfStyle w:val="000010010000"/>
            <w:tcW w:w="7512" w:type="dxa"/>
            <w:gridSpan w:val="1"/>
            <w:tcBorders>
              <w:top w:val="single" w:color="auto" w:sz="18"/>
              <w:left w:val="single" w:color="000000" w:sz="4"/>
              <w:bottom w:val="single" w:color="000000" w:sz="4"/>
              <w:right w:val="single" w:color="000000" w:sz="4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>
        <w:trPr/>
        <w:tc>
          <w:tcPr>
            <w:cnfStyle w:val="001000100000"/>
            <w:tcW w:w="3369" w:type="dxa"/>
            <w:gridSpan w:val="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>E-mail</w:t>
            </w:r>
          </w:p>
        </w:tc>
        <w:tc>
          <w:tcPr>
            <w:cnfStyle w:val="000010100000"/>
            <w:tcW w:w="7512" w:type="dxa"/>
            <w:gridSpan w:val="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>
        <w:trPr/>
        <w:tc>
          <w:tcPr>
            <w:cnfStyle w:val="001000010000"/>
            <w:tcW w:w="3369" w:type="dxa"/>
            <w:gridSpan w:val="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Почто</w:t>
            </w:r>
            <w:r>
              <w:rPr>
                <w:rFonts w:ascii="Times New Roman" w:hAnsi="Times New Roman"/>
                <w:b/>
                <w:sz w:val="24"/>
              </w:rPr>
              <w:t>вый адрес</w:t>
            </w:r>
          </w:p>
        </w:tc>
        <w:tc>
          <w:tcPr>
            <w:cnfStyle w:val="000010010000"/>
            <w:tcW w:w="7512" w:type="dxa"/>
            <w:gridSpan w:val="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ТРЕБОВАНИЯ К ОФОРМЛЕНИЮ СТАТЬИ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u w:val="single"/>
          <w:lang w:eastAsia="ru-RU"/>
        </w:rPr>
        <w:t>Н</w:t>
      </w:r>
      <w:r>
        <w:rPr>
          <w:rFonts w:ascii="Times New Roman" w:eastAsia="Times New Roman" w:hAnsi="Times New Roman"/>
          <w:sz w:val="24"/>
          <w:u w:val="single"/>
          <w:lang w:eastAsia="ru-RU"/>
        </w:rPr>
        <w:t>а русском языке</w:t>
      </w:r>
      <w:r>
        <w:rPr>
          <w:rFonts w:ascii="Times New Roman" w:eastAsia="Times New Roman" w:hAnsi="Times New Roman"/>
          <w:i/>
          <w:sz w:val="24"/>
          <w:lang w:eastAsia="ru-RU"/>
        </w:rPr>
        <w:t xml:space="preserve"> с выравнивание</w:t>
      </w:r>
      <w:r>
        <w:rPr>
          <w:rFonts w:ascii="Times New Roman" w:eastAsia="Times New Roman" w:hAnsi="Times New Roman"/>
          <w:i/>
          <w:sz w:val="24"/>
          <w:lang w:eastAsia="ru-RU"/>
        </w:rPr>
        <w:t>м</w:t>
      </w:r>
      <w:r>
        <w:rPr>
          <w:rFonts w:ascii="Times New Roman" w:eastAsia="Times New Roman" w:hAnsi="Times New Roman"/>
          <w:i/>
          <w:sz w:val="24"/>
          <w:lang w:eastAsia="ru-RU"/>
        </w:rPr>
        <w:t xml:space="preserve"> по центру</w:t>
      </w:r>
      <w:r>
        <w:rPr>
          <w:rFonts w:ascii="Times New Roman" w:eastAsia="Times New Roman" w:hAnsi="Times New Roman"/>
          <w:sz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УДК</w:t>
      </w:r>
      <w:r>
        <w:rPr>
          <w:rFonts w:ascii="Times New Roman" w:eastAsia="Times New Roman" w:hAnsi="Times New Roman"/>
          <w:sz w:val="24"/>
          <w:lang w:eastAsia="ru-RU"/>
        </w:rPr>
        <w:t xml:space="preserve"> и н</w:t>
      </w:r>
      <w:r>
        <w:rPr>
          <w:rFonts w:ascii="Times New Roman" w:eastAsia="Times New Roman" w:hAnsi="Times New Roman"/>
          <w:sz w:val="24"/>
          <w:lang w:eastAsia="ru-RU"/>
        </w:rPr>
        <w:t xml:space="preserve">азвание статьи </w:t>
      </w:r>
      <w:r>
        <w:rPr>
          <w:rFonts w:ascii="Times New Roman" w:eastAsia="Times New Roman" w:hAnsi="Times New Roman"/>
          <w:sz w:val="24"/>
          <w:lang w:eastAsia="ru-RU"/>
        </w:rPr>
        <w:t>–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lang w:eastAsia="ru-RU"/>
        </w:rPr>
        <w:t>прописными</w:t>
      </w:r>
      <w:r>
        <w:rPr>
          <w:rFonts w:ascii="Times New Roman" w:eastAsia="Times New Roman" w:hAnsi="Times New Roman"/>
          <w:i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lang w:eastAsia="ru-RU"/>
        </w:rPr>
        <w:t>буквами</w:t>
      </w:r>
      <w:r>
        <w:rPr>
          <w:rFonts w:ascii="Times New Roman" w:eastAsia="Times New Roman" w:hAnsi="Times New Roman"/>
          <w:sz w:val="24"/>
          <w:lang w:eastAsia="ru-RU"/>
        </w:rPr>
        <w:t>.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Инициалы и фамилия автора </w:t>
      </w:r>
      <w:r>
        <w:rPr>
          <w:rFonts w:ascii="Times New Roman" w:eastAsia="Times New Roman" w:hAnsi="Times New Roman"/>
          <w:sz w:val="24"/>
          <w:lang w:eastAsia="ru-RU"/>
        </w:rPr>
        <w:t xml:space="preserve">- </w:t>
      </w:r>
      <w:r>
        <w:rPr>
          <w:rFonts w:ascii="Times New Roman" w:eastAsia="Times New Roman" w:hAnsi="Times New Roman"/>
          <w:i/>
          <w:sz w:val="24"/>
          <w:lang w:eastAsia="ru-RU"/>
        </w:rPr>
        <w:t>строчными буквами</w:t>
      </w:r>
      <w:r>
        <w:rPr>
          <w:rFonts w:ascii="Times New Roman" w:eastAsia="Times New Roman" w:hAnsi="Times New Roman"/>
          <w:sz w:val="24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Название организации</w:t>
      </w:r>
      <w:r>
        <w:rPr>
          <w:rFonts w:ascii="Times New Roman" w:eastAsia="Times New Roman" w:hAnsi="Times New Roman"/>
          <w:sz w:val="24"/>
          <w:lang w:eastAsia="ru-RU"/>
        </w:rPr>
        <w:t xml:space="preserve"> полностью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>(</w:t>
      </w:r>
      <w:r>
        <w:rPr>
          <w:rFonts w:ascii="Times New Roman" w:eastAsia="Times New Roman" w:hAnsi="Times New Roman"/>
          <w:sz w:val="24"/>
          <w:lang w:eastAsia="ru-RU"/>
        </w:rPr>
        <w:t xml:space="preserve">без указания </w:t>
      </w:r>
      <w:r>
        <w:rPr>
          <w:rFonts w:ascii="Times New Roman" w:eastAsia="Times New Roman" w:hAnsi="Times New Roman"/>
          <w:sz w:val="24"/>
          <w:lang w:eastAsia="ru-RU"/>
        </w:rPr>
        <w:t>организационно-правовой</w:t>
      </w:r>
      <w:r>
        <w:rPr>
          <w:rFonts w:ascii="Times New Roman" w:eastAsia="Times New Roman" w:hAnsi="Times New Roman"/>
          <w:sz w:val="24"/>
          <w:lang w:eastAsia="ru-RU"/>
        </w:rPr>
        <w:t xml:space="preserve"> фор</w:t>
      </w:r>
      <w:r>
        <w:rPr>
          <w:rFonts w:ascii="Times New Roman" w:eastAsia="Times New Roman" w:hAnsi="Times New Roman"/>
          <w:sz w:val="24"/>
          <w:lang w:eastAsia="ru-RU"/>
        </w:rPr>
        <w:t>мы</w:t>
      </w:r>
      <w:r>
        <w:t xml:space="preserve"> </w:t>
      </w:r>
      <w:r>
        <w:t xml:space="preserve">и </w:t>
      </w:r>
      <w:r>
        <w:rPr>
          <w:rFonts w:ascii="Times New Roman" w:eastAsia="Times New Roman" w:hAnsi="Times New Roman"/>
          <w:sz w:val="24"/>
          <w:lang w:eastAsia="ru-RU"/>
        </w:rPr>
        <w:t>аббревиатуры</w:t>
      </w:r>
      <w:r>
        <w:rPr>
          <w:rFonts w:ascii="Times New Roman" w:eastAsia="Times New Roman" w:hAnsi="Times New Roman"/>
          <w:sz w:val="24"/>
          <w:lang w:eastAsia="ru-RU"/>
        </w:rPr>
        <w:t>)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lang w:eastAsia="ru-RU"/>
        </w:rPr>
        <w:t>–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lang w:eastAsia="ru-RU"/>
        </w:rPr>
        <w:t>строчными буквами</w:t>
      </w:r>
      <w:r>
        <w:rPr>
          <w:rFonts w:ascii="Times New Roman" w:eastAsia="Times New Roman" w:hAnsi="Times New Roman"/>
          <w:i/>
          <w:sz w:val="24"/>
          <w:lang w:eastAsia="ru-RU"/>
        </w:rPr>
        <w:t>.</w:t>
      </w:r>
      <w:r>
        <w:rPr>
          <w:rFonts w:ascii="Times New Roman" w:eastAsia="Times New Roman" w:hAnsi="Times New Roman"/>
          <w:i/>
          <w:sz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Краткая аннотация </w:t>
      </w:r>
      <w:r>
        <w:rPr>
          <w:rFonts w:ascii="Times New Roman" w:eastAsia="Times New Roman" w:hAnsi="Times New Roman"/>
          <w:sz w:val="24"/>
          <w:lang w:eastAsia="ru-RU"/>
        </w:rPr>
        <w:t>–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lang w:eastAsia="ru-RU"/>
        </w:rPr>
        <w:t>5-10</w:t>
      </w:r>
      <w:r>
        <w:rPr>
          <w:rFonts w:ascii="Times New Roman" w:eastAsia="Times New Roman" w:hAnsi="Times New Roman"/>
          <w:i/>
          <w:sz w:val="24"/>
          <w:lang w:eastAsia="ru-RU"/>
        </w:rPr>
        <w:t xml:space="preserve"> строк.</w:t>
      </w:r>
      <w:r>
        <w:rPr>
          <w:rFonts w:ascii="Times New Roman" w:eastAsia="Times New Roman" w:hAnsi="Times New Roman"/>
          <w:i/>
          <w:sz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Ключевые слова </w:t>
      </w:r>
      <w:r>
        <w:rPr>
          <w:rFonts w:ascii="Times New Roman" w:eastAsia="Times New Roman" w:hAnsi="Times New Roman"/>
          <w:sz w:val="24"/>
          <w:lang w:eastAsia="ru-RU"/>
        </w:rPr>
        <w:t>–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lang w:eastAsia="ru-RU"/>
        </w:rPr>
        <w:t>5-10</w:t>
      </w:r>
      <w:r>
        <w:rPr>
          <w:rFonts w:ascii="Times New Roman" w:eastAsia="Times New Roman" w:hAnsi="Times New Roman"/>
          <w:i/>
          <w:sz w:val="24"/>
          <w:lang w:eastAsia="ru-RU"/>
        </w:rPr>
        <w:t xml:space="preserve"> слов</w:t>
      </w:r>
      <w:r>
        <w:rPr>
          <w:rFonts w:ascii="Times New Roman" w:eastAsia="Times New Roman" w:hAnsi="Times New Roman"/>
          <w:i/>
          <w:sz w:val="24"/>
          <w:lang w:eastAsia="ru-RU"/>
        </w:rPr>
        <w:t>.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lang w:eastAsia="ru-RU"/>
        </w:rPr>
      </w:pPr>
      <w:r>
        <w:rPr>
          <w:rFonts w:ascii="Times New Roman" w:eastAsia="Times New Roman" w:hAnsi="Times New Roman"/>
          <w:sz w:val="20"/>
          <w:shd w:val="clear" w:color="auto" w:fill="f2f2f2" w:themeFill="background1" w:themeFillShade="f2"/>
          <w:lang w:eastAsia="ru-RU"/>
        </w:rPr>
        <w:t>Один пробел</w:t>
      </w:r>
      <w:r>
        <w:rPr>
          <w:rFonts w:ascii="Times New Roman" w:eastAsia="Times New Roman" w:hAnsi="Times New Roman"/>
          <w:i/>
          <w:sz w:val="24"/>
          <w:lang w:eastAsia="ru-RU"/>
        </w:rPr>
        <w:t>.</w:t>
      </w:r>
    </w:p>
    <w:p>
      <w:pPr>
        <w:shd w:val="clear" w:color="auto" w:fill="f2f2f2" w:themeFill="background1" w:themeFillShade="f2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П</w:t>
      </w:r>
      <w:r>
        <w:rPr>
          <w:rFonts w:ascii="Times New Roman" w:eastAsia="Times New Roman" w:hAnsi="Times New Roman"/>
          <w:b/>
          <w:sz w:val="24"/>
          <w:lang w:eastAsia="ru-RU"/>
        </w:rPr>
        <w:t>ОВТОР</w:t>
      </w:r>
      <w:r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на английском языке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lang w:eastAsia="ru-RU"/>
        </w:rPr>
      </w:pPr>
      <w:r>
        <w:rPr>
          <w:rFonts w:ascii="Times New Roman" w:eastAsia="Times New Roman" w:hAnsi="Times New Roman"/>
          <w:sz w:val="20"/>
          <w:shd w:val="clear" w:color="auto" w:fill="f2f2f2" w:themeFill="background1" w:themeFillShade="f2"/>
          <w:lang w:eastAsia="ru-RU"/>
        </w:rPr>
        <w:t>Один пробел</w:t>
      </w:r>
      <w:r>
        <w:rPr>
          <w:rFonts w:ascii="Times New Roman" w:eastAsia="Times New Roman" w:hAnsi="Times New Roman"/>
          <w:i/>
          <w:sz w:val="20"/>
          <w:lang w:eastAsia="ru-RU"/>
        </w:rPr>
        <w:t>.</w:t>
      </w:r>
    </w:p>
    <w:p>
      <w:pPr>
        <w:spacing w:after="0" w:line="240" w:lineRule="auto"/>
        <w:ind w:firstLine="709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ОСНОВНОЙ ТЕКТ СТАТЬИ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lang w:eastAsia="ru-RU"/>
        </w:rPr>
      </w:pPr>
      <w:r>
        <w:rPr>
          <w:rFonts w:ascii="Times New Roman" w:eastAsia="Times New Roman" w:hAnsi="Times New Roman"/>
          <w:sz w:val="20"/>
          <w:shd w:val="clear" w:color="auto" w:fill="f2f2f2" w:themeFill="background1" w:themeFillShade="f2"/>
          <w:lang w:eastAsia="ru-RU"/>
        </w:rPr>
        <w:t>Один пробел</w:t>
      </w:r>
      <w:r>
        <w:rPr>
          <w:rFonts w:ascii="Times New Roman" w:eastAsia="Times New Roman" w:hAnsi="Times New Roman"/>
          <w:i/>
          <w:sz w:val="20"/>
          <w:lang w:eastAsia="ru-RU"/>
        </w:rPr>
        <w:t>.</w:t>
      </w:r>
    </w:p>
    <w:p>
      <w:pPr>
        <w:spacing w:after="0" w:line="240" w:lineRule="auto"/>
        <w:ind w:firstLine="709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СПИСОК ИСТОЧНИКОВ</w:t>
      </w:r>
      <w:r>
        <w:rPr>
          <w:rFonts w:ascii="Times New Roman" w:eastAsia="Times New Roman" w:hAnsi="Times New Roman"/>
          <w:i/>
          <w:sz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0"/>
          <w:lang w:eastAsia="ru-RU"/>
        </w:rPr>
        <w:t xml:space="preserve">- </w:t>
      </w:r>
      <w:r>
        <w:rPr>
          <w:rFonts w:ascii="Times New Roman" w:eastAsia="Times New Roman" w:hAnsi="Times New Roman"/>
          <w:i/>
          <w:sz w:val="20"/>
          <w:lang w:eastAsia="ru-RU"/>
        </w:rPr>
        <w:t>в порядке их упоминания в тексте</w:t>
      </w:r>
      <w:r>
        <w:rPr>
          <w:rFonts w:ascii="Times New Roman" w:eastAsia="Times New Roman" w:hAnsi="Times New Roman"/>
          <w:i/>
          <w:sz w:val="20"/>
          <w:lang w:eastAsia="ru-RU"/>
        </w:rPr>
        <w:t>.</w:t>
      </w:r>
    </w:p>
    <w:p>
      <w:pPr>
        <w:spacing w:after="0" w:line="240" w:lineRule="auto"/>
        <w:ind w:firstLine="709"/>
        <w:rPr>
          <w:rFonts w:ascii="Times New Roman" w:eastAsia="Times New Roman" w:hAnsi="Times New Roman"/>
          <w:i/>
          <w:sz w:val="16"/>
          <w:lang w:eastAsia="ru-RU"/>
        </w:rPr>
      </w:pPr>
    </w:p>
    <w:tbl>
      <w:tblPr>
        <w:tblW w:w="11023" w:type="dxa"/>
        <w:tblBorders>
          <w:top w:val="single" w:color="auto" w:sz="2"/>
          <w:left w:val="single" w:color="auto" w:sz="2"/>
          <w:bottom w:val="single" w:color="auto" w:sz="2"/>
          <w:right w:val="single" w:color="auto" w:sz="2"/>
          <w:insideH w:val="single" w:color="auto" w:sz="2"/>
          <w:insideV w:val="single" w:color="auto" w:sz="2"/>
        </w:tblBorders>
        <w:tblCellMar>
          <w:left w:w="0" w:type="dxa"/>
          <w:right w:w="0" w:type="dxa"/>
        </w:tblCellMar>
        <w:tblLook w:val="04A0"/>
      </w:tblPr>
      <w:tblGrid>
        <w:gridCol w:w="3510"/>
        <w:gridCol w:w="7513"/>
      </w:tblGrid>
      <w:tr>
        <w:trPr/>
        <w:tc>
          <w:tcPr>
            <w:cnfStyle w:val="10100000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Текстовый редактор</w:t>
            </w:r>
          </w:p>
        </w:tc>
        <w:tc>
          <w:tcPr>
            <w:cnfStyle w:val="10000000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Microsoft Word</w:t>
            </w:r>
          </w:p>
        </w:tc>
      </w:tr>
      <w:tr>
        <w:trPr/>
        <w:tc>
          <w:tcPr>
            <w:cnfStyle w:val="00100010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Размер бумаги</w:t>
            </w:r>
          </w:p>
        </w:tc>
        <w:tc>
          <w:tcPr>
            <w:cnfStyle w:val="00000010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А4.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Без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переносов</w:t>
            </w:r>
          </w:p>
        </w:tc>
      </w:tr>
      <w:tr>
        <w:trPr/>
        <w:tc>
          <w:tcPr>
            <w:cnfStyle w:val="00100001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Поля</w:t>
            </w:r>
          </w:p>
        </w:tc>
        <w:tc>
          <w:tcPr>
            <w:cnfStyle w:val="00000001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15 мм сверху, снизу, слева и справа</w:t>
            </w:r>
          </w:p>
        </w:tc>
      </w:tr>
      <w:tr>
        <w:trPr/>
        <w:tc>
          <w:tcPr>
            <w:cnfStyle w:val="00100010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Основной шрифт</w:t>
            </w:r>
          </w:p>
        </w:tc>
        <w:tc>
          <w:tcPr>
            <w:cnfStyle w:val="00000010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Times New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Roman</w:t>
            </w:r>
          </w:p>
        </w:tc>
      </w:tr>
      <w:tr>
        <w:trPr/>
        <w:tc>
          <w:tcPr>
            <w:cnfStyle w:val="00100001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Размер шрифта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</w:p>
        </w:tc>
        <w:tc>
          <w:tcPr>
            <w:cnfStyle w:val="00000001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12 пунктов</w:t>
            </w:r>
          </w:p>
        </w:tc>
      </w:tr>
      <w:tr>
        <w:trPr/>
        <w:tc>
          <w:tcPr>
            <w:cnfStyle w:val="00100010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Межстрочный интервал</w:t>
            </w:r>
          </w:p>
        </w:tc>
        <w:tc>
          <w:tcPr>
            <w:cnfStyle w:val="00000010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1,15</w:t>
            </w:r>
          </w:p>
        </w:tc>
      </w:tr>
      <w:tr>
        <w:trPr/>
        <w:tc>
          <w:tcPr>
            <w:cnfStyle w:val="00100001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Выравнивание текста</w:t>
            </w:r>
          </w:p>
        </w:tc>
        <w:tc>
          <w:tcPr>
            <w:cnfStyle w:val="00000001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По ширине</w:t>
            </w:r>
          </w:p>
        </w:tc>
      </w:tr>
      <w:tr>
        <w:trPr/>
        <w:tc>
          <w:tcPr>
            <w:cnfStyle w:val="00100010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Абзацный отступ</w:t>
            </w:r>
          </w:p>
        </w:tc>
        <w:tc>
          <w:tcPr>
            <w:cnfStyle w:val="00000010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1,25 см</w:t>
            </w:r>
          </w:p>
        </w:tc>
      </w:tr>
      <w:tr>
        <w:trPr/>
        <w:tc>
          <w:tcPr>
            <w:cnfStyle w:val="00100001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Рисунки</w:t>
            </w:r>
          </w:p>
        </w:tc>
        <w:tc>
          <w:tcPr>
            <w:cnfStyle w:val="00000001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Вставляются в текст с нумерацией в порядке их упомина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ния в тексте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и названием, которые пишутся по центру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под рисунком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Например,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Рис. 1. 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Название рисунка.</w:t>
            </w:r>
          </w:p>
        </w:tc>
      </w:tr>
      <w:tr>
        <w:trPr/>
        <w:tc>
          <w:tcPr>
            <w:cnfStyle w:val="00100010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Таблицы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в формате MS Word</w:t>
            </w:r>
          </w:p>
        </w:tc>
        <w:tc>
          <w:tcPr>
            <w:cnfStyle w:val="00000010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Вставляются в текст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с нумерацией в порядке их упоминания в тексте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(например,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Таблица 1)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справа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и названием по центру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над таблицей</w:t>
            </w:r>
          </w:p>
        </w:tc>
      </w:tr>
      <w:tr>
        <w:trPr/>
        <w:tc>
          <w:tcPr>
            <w:cnfStyle w:val="001000010000"/>
            <w:tcW w:w="110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Формулы и математические символы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в редакторе Microsoft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Equation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.</w:t>
            </w:r>
          </w:p>
        </w:tc>
      </w:tr>
      <w:tr>
        <w:trPr/>
        <w:tc>
          <w:tcPr>
            <w:cnfStyle w:val="00100010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Ссылки в тексте статьи</w:t>
            </w:r>
          </w:p>
        </w:tc>
        <w:tc>
          <w:tcPr>
            <w:cnfStyle w:val="00000010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ставляются в текс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(н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апример,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[1, с. 52; 3, с. 12]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квадратных скобках со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ответственно списку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источников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</w:t>
            </w:r>
          </w:p>
        </w:tc>
      </w:tr>
      <w:tr>
        <w:trPr/>
        <w:tc>
          <w:tcPr>
            <w:cnfStyle w:val="001000010000"/>
            <w:tcW w:w="3510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списка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источников</w:t>
            </w:r>
          </w:p>
        </w:tc>
        <w:tc>
          <w:tcPr>
            <w:cnfStyle w:val="000000010000"/>
            <w:tcW w:w="7513" w:type="dxa"/>
            <w:gridSpan w:val="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ГОСТ Р 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7.05-2008</w:t>
            </w:r>
          </w:p>
        </w:tc>
      </w:tr>
      <w:tr>
        <w:trPr/>
        <w:tc>
          <w:tcPr>
            <w:cnfStyle w:val="001000100000"/>
            <w:tcW w:w="3510" w:type="dxa"/>
            <w:gridSpan w:val="1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НЕДОПУСТИМЫ:</w:t>
            </w:r>
          </w:p>
        </w:tc>
        <w:tc>
          <w:tcPr>
            <w:cnfStyle w:val="000000100000"/>
            <w:tcW w:w="7513" w:type="dxa"/>
            <w:gridSpan w:val="1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- нумерация страниц;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- использование в тексте разрывов страниц;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использование автоматических постраничных ссылок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- использование разреженного или уплотненного 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межбуквенного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 интервала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.</w:t>
            </w:r>
          </w:p>
        </w:tc>
      </w:tr>
    </w:tbl>
    <w:p>
      <w:pPr>
        <w:snapToGrid w:val="off"/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>
      <w:pPr>
        <w:snapToGrid w:val="off"/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ОБЯЗАТЕЛЬНО </w:t>
      </w:r>
    </w:p>
    <w:p>
      <w:pPr>
        <w:snapToGrid w:val="o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При написании статьи</w:t>
      </w:r>
      <w:r>
        <w:rPr>
          <w:rFonts w:ascii="Times New Roman" w:hAnsi="Times New Roman"/>
          <w:sz w:val="24"/>
          <w:lang w:eastAsia="ru-RU"/>
        </w:rPr>
        <w:t xml:space="preserve"> работать </w:t>
      </w:r>
      <w:r>
        <w:rPr>
          <w:rFonts w:ascii="Times New Roman" w:hAnsi="Times New Roman"/>
          <w:b/>
          <w:sz w:val="24"/>
          <w:lang w:eastAsia="ru-RU"/>
        </w:rPr>
        <w:t xml:space="preserve">с </w:t>
      </w:r>
      <w:r>
        <w:rPr>
          <w:rFonts w:ascii="Times New Roman" w:hAnsi="Times New Roman"/>
          <w:b/>
          <w:sz w:val="24"/>
          <w:lang w:eastAsia="ru-RU"/>
        </w:rPr>
        <w:t>активированным</w:t>
      </w:r>
      <w:r>
        <w:rPr>
          <w:rFonts w:ascii="Times New Roman" w:hAnsi="Times New Roman"/>
          <w:sz w:val="24"/>
          <w:lang w:eastAsia="ru-RU"/>
        </w:rPr>
        <w:t xml:space="preserve"> на панели управления </w:t>
      </w:r>
      <w:r>
        <w:rPr>
          <w:rFonts w:ascii="Times New Roman" w:hAnsi="Times New Roman"/>
          <w:sz w:val="24"/>
          <w:lang w:eastAsia="ru-RU"/>
        </w:rPr>
        <w:t>показателем</w:t>
      </w:r>
      <w:r>
        <w:rPr>
          <w:rFonts w:ascii="Times New Roman" w:hAnsi="Times New Roman"/>
          <w:b/>
          <w:sz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lang w:eastAsia="ru-RU"/>
        </w:rPr>
        <w:t>«</w:t>
      </w:r>
      <w:r>
        <w:rPr>
          <w:rFonts w:ascii="Times New Roman" w:hAnsi="Times New Roman"/>
          <w:b/>
          <w:i/>
          <w:sz w:val="24"/>
          <w:lang w:eastAsia="ru-RU"/>
        </w:rPr>
        <w:t>отображение знаков скрытых символов форматирования</w:t>
      </w:r>
      <w:r>
        <w:rPr>
          <w:rFonts w:ascii="Times New Roman" w:hAnsi="Times New Roman"/>
          <w:b/>
          <w:sz w:val="24"/>
          <w:lang w:eastAsia="ru-RU"/>
        </w:rPr>
        <w:t>»</w:t>
      </w:r>
      <w:r>
        <w:rPr>
          <w:rFonts w:ascii="Times New Roman" w:hAnsi="Times New Roman"/>
          <w:b/>
          <w:sz w:val="24"/>
          <w:lang w:eastAsia="ru-RU"/>
        </w:rPr>
        <w:t>.</w:t>
      </w:r>
    </w:p>
    <w:p>
      <w:pPr>
        <w:snapToGrid w:val="off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lang w:eastAsia="ru-RU"/>
        </w:rPr>
      </w:pPr>
    </w:p>
    <w:p>
      <w:pPr>
        <w:snapToGrid w:val="off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С уважением, </w:t>
      </w:r>
    </w:p>
    <w:p>
      <w:pPr>
        <w:snapToGrid w:val="off"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Оргкомитет Конференции</w:t>
      </w:r>
    </w:p>
    <w:sectPr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 w:val="on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EBC"/>
    <w:rsid w:val="00023121"/>
    <w:rsid w:val="0002359E"/>
    <w:rsid w:val="00043F05"/>
    <w:rsid w:val="000570EE"/>
    <w:rsid w:val="00062168"/>
    <w:rsid w:val="00091435"/>
    <w:rsid w:val="000936A5"/>
    <w:rsid w:val="00094DD0"/>
    <w:rsid w:val="000B28B9"/>
    <w:rsid w:val="000C3F20"/>
    <w:rsid w:val="0010567C"/>
    <w:rsid w:val="00113325"/>
    <w:rsid w:val="00136772"/>
    <w:rsid w:val="00175CA6"/>
    <w:rsid w:val="00176651"/>
    <w:rsid w:val="001843A9"/>
    <w:rsid w:val="0018499F"/>
    <w:rsid w:val="00193FFA"/>
    <w:rsid w:val="00194744"/>
    <w:rsid w:val="001B2F09"/>
    <w:rsid w:val="001C2920"/>
    <w:rsid w:val="001D0225"/>
    <w:rsid w:val="001E2DEF"/>
    <w:rsid w:val="00201ED8"/>
    <w:rsid w:val="00234068"/>
    <w:rsid w:val="002350CE"/>
    <w:rsid w:val="00240668"/>
    <w:rsid w:val="00251B0D"/>
    <w:rsid w:val="00273EBC"/>
    <w:rsid w:val="002D42A1"/>
    <w:rsid w:val="002D49A1"/>
    <w:rsid w:val="002D7046"/>
    <w:rsid w:val="002E3071"/>
    <w:rsid w:val="002F6CFA"/>
    <w:rsid w:val="00331D58"/>
    <w:rsid w:val="003460BE"/>
    <w:rsid w:val="0036030F"/>
    <w:rsid w:val="00371C0A"/>
    <w:rsid w:val="00375A1F"/>
    <w:rsid w:val="003B2E8F"/>
    <w:rsid w:val="003C0D2F"/>
    <w:rsid w:val="003D6C6C"/>
    <w:rsid w:val="003E69B9"/>
    <w:rsid w:val="003F1CA0"/>
    <w:rsid w:val="00415EF4"/>
    <w:rsid w:val="0044413F"/>
    <w:rsid w:val="00470C60"/>
    <w:rsid w:val="004907FF"/>
    <w:rsid w:val="00490AE6"/>
    <w:rsid w:val="00492834"/>
    <w:rsid w:val="004A19E8"/>
    <w:rsid w:val="004B2002"/>
    <w:rsid w:val="004B283E"/>
    <w:rsid w:val="004C1942"/>
    <w:rsid w:val="004D50D8"/>
    <w:rsid w:val="004E2E0D"/>
    <w:rsid w:val="004E39B9"/>
    <w:rsid w:val="004F28D5"/>
    <w:rsid w:val="005038DE"/>
    <w:rsid w:val="00521165"/>
    <w:rsid w:val="005224A6"/>
    <w:rsid w:val="00534293"/>
    <w:rsid w:val="00536DBE"/>
    <w:rsid w:val="00546FC3"/>
    <w:rsid w:val="00563ED8"/>
    <w:rsid w:val="00576472"/>
    <w:rsid w:val="00592889"/>
    <w:rsid w:val="005A3D06"/>
    <w:rsid w:val="005B79E6"/>
    <w:rsid w:val="005C0949"/>
    <w:rsid w:val="005C14E1"/>
    <w:rsid w:val="005C7351"/>
    <w:rsid w:val="005E246D"/>
    <w:rsid w:val="00603042"/>
    <w:rsid w:val="0061603D"/>
    <w:rsid w:val="00625A6E"/>
    <w:rsid w:val="00630155"/>
    <w:rsid w:val="00637B7A"/>
    <w:rsid w:val="00640DDB"/>
    <w:rsid w:val="006744A0"/>
    <w:rsid w:val="00681E38"/>
    <w:rsid w:val="006874C2"/>
    <w:rsid w:val="00694788"/>
    <w:rsid w:val="00697767"/>
    <w:rsid w:val="006A0079"/>
    <w:rsid w:val="006B610B"/>
    <w:rsid w:val="006C51AF"/>
    <w:rsid w:val="006E2C97"/>
    <w:rsid w:val="006E35A6"/>
    <w:rsid w:val="0071096B"/>
    <w:rsid w:val="00734BD1"/>
    <w:rsid w:val="00750F3F"/>
    <w:rsid w:val="00751480"/>
    <w:rsid w:val="00770670"/>
    <w:rsid w:val="00773342"/>
    <w:rsid w:val="007B7562"/>
    <w:rsid w:val="007D68DA"/>
    <w:rsid w:val="007E3C2E"/>
    <w:rsid w:val="00856925"/>
    <w:rsid w:val="008B2993"/>
    <w:rsid w:val="008B3EE0"/>
    <w:rsid w:val="008D3B55"/>
    <w:rsid w:val="008E28D4"/>
    <w:rsid w:val="008E6590"/>
    <w:rsid w:val="008E7321"/>
    <w:rsid w:val="008F6164"/>
    <w:rsid w:val="00906680"/>
    <w:rsid w:val="00914397"/>
    <w:rsid w:val="0091780B"/>
    <w:rsid w:val="009267DF"/>
    <w:rsid w:val="0095757E"/>
    <w:rsid w:val="00957C21"/>
    <w:rsid w:val="00961940"/>
    <w:rsid w:val="00970D97"/>
    <w:rsid w:val="009A609D"/>
    <w:rsid w:val="009B6C1A"/>
    <w:rsid w:val="009D6929"/>
    <w:rsid w:val="009E41C9"/>
    <w:rsid w:val="009F746E"/>
    <w:rsid w:val="00A13C81"/>
    <w:rsid w:val="00A14523"/>
    <w:rsid w:val="00A177EB"/>
    <w:rsid w:val="00A36F88"/>
    <w:rsid w:val="00A46795"/>
    <w:rsid w:val="00A70769"/>
    <w:rsid w:val="00A726FD"/>
    <w:rsid w:val="00A75AC2"/>
    <w:rsid w:val="00A76927"/>
    <w:rsid w:val="00AA6447"/>
    <w:rsid w:val="00AB3361"/>
    <w:rsid w:val="00AC12DB"/>
    <w:rsid w:val="00AD6C81"/>
    <w:rsid w:val="00AE7875"/>
    <w:rsid w:val="00B11DBE"/>
    <w:rsid w:val="00B1247B"/>
    <w:rsid w:val="00B135BC"/>
    <w:rsid w:val="00B17AD1"/>
    <w:rsid w:val="00B21442"/>
    <w:rsid w:val="00B33F4F"/>
    <w:rsid w:val="00B50D38"/>
    <w:rsid w:val="00B61C63"/>
    <w:rsid w:val="00B71E92"/>
    <w:rsid w:val="00B84591"/>
    <w:rsid w:val="00BA1D5F"/>
    <w:rsid w:val="00BA7A32"/>
    <w:rsid w:val="00BB4E93"/>
    <w:rsid w:val="00BE287B"/>
    <w:rsid w:val="00BE4586"/>
    <w:rsid w:val="00BF2380"/>
    <w:rsid w:val="00C00827"/>
    <w:rsid w:val="00C07A3A"/>
    <w:rsid w:val="00C37337"/>
    <w:rsid w:val="00C474C8"/>
    <w:rsid w:val="00C818EF"/>
    <w:rsid w:val="00C87B77"/>
    <w:rsid w:val="00CA63C0"/>
    <w:rsid w:val="00CB792A"/>
    <w:rsid w:val="00CC7599"/>
    <w:rsid w:val="00CF3F3D"/>
    <w:rsid w:val="00CF6C95"/>
    <w:rsid w:val="00D01AAF"/>
    <w:rsid w:val="00D25EE0"/>
    <w:rsid w:val="00D26E26"/>
    <w:rsid w:val="00D36D7D"/>
    <w:rsid w:val="00D4484E"/>
    <w:rsid w:val="00D67272"/>
    <w:rsid w:val="00D74B4F"/>
    <w:rsid w:val="00D7601A"/>
    <w:rsid w:val="00DB0F4D"/>
    <w:rsid w:val="00DB2A1D"/>
    <w:rsid w:val="00DC09CE"/>
    <w:rsid w:val="00DE37D5"/>
    <w:rsid w:val="00DF1451"/>
    <w:rsid w:val="00E16E46"/>
    <w:rsid w:val="00E229E3"/>
    <w:rsid w:val="00E23D06"/>
    <w:rsid w:val="00E306C6"/>
    <w:rsid w:val="00E40132"/>
    <w:rsid w:val="00E51BE4"/>
    <w:rsid w:val="00E62B06"/>
    <w:rsid w:val="00E64928"/>
    <w:rsid w:val="00E7089A"/>
    <w:rsid w:val="00E924EB"/>
    <w:rsid w:val="00E926B8"/>
    <w:rsid w:val="00EA2147"/>
    <w:rsid w:val="00EA6B70"/>
    <w:rsid w:val="00ED2246"/>
    <w:rsid w:val="00ED3260"/>
    <w:rsid w:val="00EF0C8F"/>
    <w:rsid w:val="00EF453D"/>
    <w:rsid w:val="00F16FE1"/>
    <w:rsid w:val="00F2501C"/>
    <w:rsid w:val="00F3381D"/>
    <w:rsid w:val="00F55F7C"/>
    <w:rsid w:val="00F66893"/>
    <w:rsid w:val="00F86E57"/>
    <w:rsid w:val="00F946AB"/>
    <w:rsid w:val="00F97743"/>
    <w:rsid w:val="00FB0CD8"/>
    <w:rsid w:val="00FC5E5B"/>
    <w:rsid w:val="00FC76DA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0771"/>
  <w15:docId w15:val="{F0F98291-44B5-45C8-93E4-481FDEAE3258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(Web)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default="1" w:styleId="Normal">
    <w:name w:val="Normal"/>
    <w:uiPriority w:val="99"/>
    <w:qFormat w:val="on"/>
    <w:rPr>
      <w:rFonts w:ascii="Calibri" w:cs="Times New Roman" w:eastAsia="Calibri" w:hAnsi="Calibri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paragraph" w:styleId="ListParagraph">
    <w:name w:val="List Paragraph"/>
    <w:basedOn w:val="Normal"/>
    <w:uiPriority w:val="34"/>
    <w:qFormat w:val="on"/>
    <w:pPr>
      <w:spacing w:after="160" w:line="259" w:lineRule="auto"/>
      <w:ind w:left="720"/>
      <w:contextualSpacing w:val="on"/>
    </w:pPr>
    <w:rPr>
      <w:rFonts w:asciiTheme="minorHAnsi" w:cstheme="minorBidi" w:eastAsiaTheme="minorHAnsi" w:hAnsiTheme="minorHAnsi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BalloonText">
    <w:name w:val="Balloon Text"/>
    <w:basedOn w:val="Normal"/>
    <w:link w:val="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customStyle="1" w:styleId="">
    <w:name w:val="Текст выноски Знак"/>
    <w:basedOn w:val="DefaultParagraphFont"/>
    <w:link w:val="BalloonText"/>
    <w:uiPriority w:val="99"/>
    <w:semiHidden w:val="on"/>
    <w:rPr>
      <w:rFonts w:ascii="Tahoma" w:cs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7" Type="http://schemas.openxmlformats.org/officeDocument/2006/relationships/hyperlink" Target="mailto:zaurdina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Головатская Татьяна Евгеньевна</dc:creator>
  <cp:lastModifiedBy>irina-25.01</cp:lastModifiedBy>
  <cp:revision>8</cp:revision>
  <cp:lastPrinted>2023-04-11T05:17:00Z</cp:lastPrinted>
  <dcterms:created xsi:type="dcterms:W3CDTF">2023-04-07T10:07:00Z</dcterms:created>
  <dcterms:modified xsi:type="dcterms:W3CDTF">2024-03-13T17:12:00Z</dcterms:modified>
</cp:coreProperties>
</file>